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C97C1" w14:textId="77777777" w:rsidR="00DD6E57" w:rsidRDefault="00DD6E57" w:rsidP="00DD6E57">
      <w:pPr>
        <w:tabs>
          <w:tab w:val="left" w:pos="996"/>
        </w:tabs>
        <w:spacing w:after="160" w:line="259" w:lineRule="auto"/>
        <w:sectPr w:rsidR="00DD6E57" w:rsidSect="00DD6E57">
          <w:pgSz w:w="12240" w:h="15840" w:code="1"/>
          <w:pgMar w:top="1080" w:right="1080" w:bottom="1080" w:left="1080" w:header="144" w:footer="720" w:gutter="0"/>
          <w:paperSrc w:first="7" w:other="7"/>
          <w:cols w:num="2" w:space="720"/>
          <w:titlePg/>
          <w:docGrid w:linePitch="360"/>
        </w:sectPr>
      </w:pPr>
    </w:p>
    <w:tbl>
      <w:tblPr>
        <w:tblStyle w:val="TableGrid"/>
        <w:tblpPr w:leftFromText="180" w:rightFromText="180" w:vertAnchor="text" w:horzAnchor="margin" w:tblpY="1138"/>
        <w:tblW w:w="11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710"/>
        <w:gridCol w:w="1980"/>
        <w:gridCol w:w="2070"/>
        <w:gridCol w:w="1980"/>
        <w:gridCol w:w="1980"/>
      </w:tblGrid>
      <w:tr w:rsidR="00DD6E57" w:rsidRPr="005F107A" w14:paraId="2D6968F0" w14:textId="77777777" w:rsidTr="00A731AA">
        <w:tc>
          <w:tcPr>
            <w:tcW w:w="2070" w:type="dxa"/>
            <w:tcBorders>
              <w:top w:val="single" w:sz="4" w:space="0" w:color="auto"/>
            </w:tcBorders>
          </w:tcPr>
          <w:p w14:paraId="24468169" w14:textId="77777777" w:rsidR="00DD6E57" w:rsidRPr="003B0748" w:rsidRDefault="00DD6E57" w:rsidP="00A731AA">
            <w:pPr>
              <w:spacing w:before="120" w:line="211" w:lineRule="exact"/>
              <w:rPr>
                <w:rFonts w:cs="Roboto Condensed"/>
                <w:b/>
                <w:caps/>
                <w:color w:val="231F20"/>
                <w:spacing w:val="8"/>
                <w:kern w:val="24"/>
                <w:szCs w:val="18"/>
              </w:rPr>
            </w:pPr>
            <w:bookmarkStart w:id="0" w:name="_Hlk178592673"/>
            <w:r w:rsidRPr="003B0748">
              <w:rPr>
                <w:rFonts w:cs="Roboto Condensed"/>
                <w:b/>
                <w:caps/>
                <w:color w:val="231F20"/>
                <w:spacing w:val="8"/>
                <w:kern w:val="24"/>
                <w:szCs w:val="18"/>
              </w:rPr>
              <w:lastRenderedPageBreak/>
              <w:t>government lead</w:t>
            </w:r>
          </w:p>
        </w:tc>
        <w:tc>
          <w:tcPr>
            <w:tcW w:w="1710" w:type="dxa"/>
            <w:tcBorders>
              <w:top w:val="single" w:sz="4" w:space="0" w:color="auto"/>
            </w:tcBorders>
          </w:tcPr>
          <w:p w14:paraId="3FDF58C2" w14:textId="77777777" w:rsidR="00DD6E57" w:rsidRPr="005F107A" w:rsidRDefault="00DD6E57" w:rsidP="00A731AA">
            <w:pPr>
              <w:spacing w:before="120" w:line="211" w:lineRule="exact"/>
              <w:rPr>
                <w:rFonts w:cs="Roboto Condensed"/>
                <w:b/>
                <w:caps/>
                <w:color w:val="231F20"/>
                <w:spacing w:val="8"/>
                <w:kern w:val="24"/>
                <w:szCs w:val="18"/>
              </w:rPr>
            </w:pPr>
            <w:r w:rsidRPr="005F107A">
              <w:rPr>
                <w:rFonts w:cs="Roboto Condensed"/>
                <w:b/>
                <w:caps/>
                <w:color w:val="231F20"/>
                <w:spacing w:val="8"/>
                <w:kern w:val="24"/>
                <w:szCs w:val="18"/>
              </w:rPr>
              <w:t>lead agencies</w:t>
            </w:r>
          </w:p>
        </w:tc>
        <w:tc>
          <w:tcPr>
            <w:tcW w:w="1980" w:type="dxa"/>
            <w:tcBorders>
              <w:top w:val="single" w:sz="4" w:space="0" w:color="auto"/>
            </w:tcBorders>
          </w:tcPr>
          <w:p w14:paraId="765CEC7B" w14:textId="77777777" w:rsidR="00DD6E57" w:rsidRPr="005F107A" w:rsidRDefault="00DD6E57" w:rsidP="00A731AA">
            <w:pPr>
              <w:spacing w:before="120" w:line="211" w:lineRule="exact"/>
              <w:rPr>
                <w:rFonts w:cs="Roboto Condensed"/>
                <w:b/>
                <w:caps/>
                <w:color w:val="231F20"/>
                <w:spacing w:val="8"/>
                <w:kern w:val="24"/>
                <w:szCs w:val="18"/>
              </w:rPr>
            </w:pPr>
            <w:r w:rsidRPr="005F107A">
              <w:rPr>
                <w:rFonts w:cs="Roboto Condensed"/>
                <w:b/>
                <w:caps/>
                <w:color w:val="231F20"/>
                <w:spacing w:val="8"/>
                <w:kern w:val="24"/>
                <w:szCs w:val="18"/>
              </w:rPr>
              <w:t>PEOPLE IN NEED</w:t>
            </w:r>
          </w:p>
        </w:tc>
        <w:tc>
          <w:tcPr>
            <w:tcW w:w="2070" w:type="dxa"/>
            <w:tcBorders>
              <w:top w:val="single" w:sz="4" w:space="0" w:color="auto"/>
            </w:tcBorders>
          </w:tcPr>
          <w:p w14:paraId="65E91B00" w14:textId="77777777" w:rsidR="00DD6E57" w:rsidRPr="005F107A" w:rsidRDefault="00DD6E57" w:rsidP="00A731AA">
            <w:pPr>
              <w:spacing w:before="120" w:line="211" w:lineRule="exact"/>
              <w:rPr>
                <w:rFonts w:cs="Roboto Condensed"/>
                <w:b/>
                <w:caps/>
                <w:color w:val="231F20"/>
                <w:spacing w:val="8"/>
                <w:kern w:val="24"/>
                <w:szCs w:val="18"/>
              </w:rPr>
            </w:pPr>
            <w:r w:rsidRPr="005F107A">
              <w:rPr>
                <w:rFonts w:cs="Roboto Condensed"/>
                <w:b/>
                <w:caps/>
                <w:color w:val="231F20"/>
                <w:spacing w:val="8"/>
                <w:kern w:val="24"/>
                <w:szCs w:val="18"/>
              </w:rPr>
              <w:t>PEOPLE TARGETED</w:t>
            </w:r>
          </w:p>
        </w:tc>
        <w:tc>
          <w:tcPr>
            <w:tcW w:w="1980" w:type="dxa"/>
            <w:tcBorders>
              <w:top w:val="single" w:sz="4" w:space="0" w:color="auto"/>
            </w:tcBorders>
          </w:tcPr>
          <w:p w14:paraId="3ABDB3A1" w14:textId="77777777" w:rsidR="00DD6E57" w:rsidRPr="005F107A" w:rsidRDefault="00DD6E57" w:rsidP="00A731AA">
            <w:pPr>
              <w:spacing w:before="120" w:line="211" w:lineRule="exact"/>
              <w:rPr>
                <w:rFonts w:cs="Roboto Condensed"/>
                <w:b/>
                <w:caps/>
                <w:color w:val="231F20"/>
                <w:spacing w:val="8"/>
                <w:kern w:val="24"/>
                <w:szCs w:val="18"/>
              </w:rPr>
            </w:pPr>
            <w:r>
              <w:rPr>
                <w:rFonts w:cs="Roboto Condensed"/>
                <w:b/>
                <w:caps/>
                <w:color w:val="231F20"/>
                <w:spacing w:val="8"/>
                <w:kern w:val="24"/>
                <w:szCs w:val="18"/>
              </w:rPr>
              <w:t>Fund require</w:t>
            </w:r>
          </w:p>
        </w:tc>
        <w:tc>
          <w:tcPr>
            <w:tcW w:w="1980" w:type="dxa"/>
            <w:tcBorders>
              <w:top w:val="single" w:sz="4" w:space="0" w:color="auto"/>
            </w:tcBorders>
          </w:tcPr>
          <w:p w14:paraId="1AA0FF28" w14:textId="77777777" w:rsidR="00DD6E57" w:rsidRPr="005F107A" w:rsidRDefault="00DD6E57" w:rsidP="00A731AA">
            <w:pPr>
              <w:spacing w:before="120" w:line="211" w:lineRule="exact"/>
              <w:rPr>
                <w:rFonts w:cs="Roboto Condensed"/>
                <w:b/>
                <w:caps/>
                <w:color w:val="231F20"/>
                <w:spacing w:val="8"/>
                <w:kern w:val="24"/>
                <w:szCs w:val="18"/>
              </w:rPr>
            </w:pPr>
          </w:p>
        </w:tc>
      </w:tr>
      <w:tr w:rsidR="00DD6E57" w:rsidRPr="005F107A" w14:paraId="6619721D" w14:textId="77777777" w:rsidTr="00A731AA">
        <w:trPr>
          <w:trHeight w:val="819"/>
        </w:trPr>
        <w:tc>
          <w:tcPr>
            <w:tcW w:w="2070" w:type="dxa"/>
            <w:tcBorders>
              <w:bottom w:val="single" w:sz="4" w:space="0" w:color="auto"/>
            </w:tcBorders>
          </w:tcPr>
          <w:p w14:paraId="3FEB9D00" w14:textId="77777777" w:rsidR="00DD6E57" w:rsidRPr="00FF3C7D" w:rsidRDefault="00DD6E57" w:rsidP="00A731AA">
            <w:pPr>
              <w:rPr>
                <w:rFonts w:asciiTheme="minorHAnsi" w:hAnsiTheme="minorHAnsi" w:cstheme="minorHAnsi"/>
                <w:sz w:val="28"/>
                <w:szCs w:val="28"/>
              </w:rPr>
            </w:pPr>
            <w:r w:rsidRPr="00FF3C7D">
              <w:rPr>
                <w:rFonts w:asciiTheme="minorHAnsi" w:hAnsiTheme="minorHAnsi" w:cstheme="minorHAnsi"/>
                <w:sz w:val="28"/>
                <w:szCs w:val="28"/>
              </w:rPr>
              <w:t>NDMA/ ERRA</w:t>
            </w:r>
          </w:p>
        </w:tc>
        <w:tc>
          <w:tcPr>
            <w:tcW w:w="1710" w:type="dxa"/>
            <w:tcBorders>
              <w:bottom w:val="single" w:sz="4" w:space="0" w:color="auto"/>
            </w:tcBorders>
          </w:tcPr>
          <w:p w14:paraId="4CF2CC5C" w14:textId="77777777" w:rsidR="00DD6E57" w:rsidRPr="00FF3C7D" w:rsidRDefault="00DD6E57" w:rsidP="00A731AA">
            <w:pPr>
              <w:rPr>
                <w:rFonts w:asciiTheme="minorHAnsi" w:hAnsiTheme="minorHAnsi" w:cstheme="minorHAnsi"/>
                <w:sz w:val="28"/>
                <w:szCs w:val="28"/>
              </w:rPr>
            </w:pPr>
            <w:r w:rsidRPr="00FF3C7D">
              <w:rPr>
                <w:rFonts w:asciiTheme="minorHAnsi" w:hAnsiTheme="minorHAnsi" w:cstheme="minorHAnsi"/>
                <w:sz w:val="28"/>
                <w:szCs w:val="28"/>
              </w:rPr>
              <w:t>IOM</w:t>
            </w:r>
          </w:p>
        </w:tc>
        <w:tc>
          <w:tcPr>
            <w:tcW w:w="1980" w:type="dxa"/>
            <w:tcBorders>
              <w:bottom w:val="single" w:sz="4" w:space="0" w:color="auto"/>
            </w:tcBorders>
          </w:tcPr>
          <w:p w14:paraId="1996CA94" w14:textId="77777777" w:rsidR="00DD6E57" w:rsidRPr="00FF3C7D" w:rsidRDefault="00DD6E57" w:rsidP="00A731AA">
            <w:pPr>
              <w:pStyle w:val="Bigbluefigures"/>
              <w:spacing w:after="0" w:line="264" w:lineRule="auto"/>
              <w:rPr>
                <w:rFonts w:asciiTheme="minorHAnsi" w:hAnsiTheme="minorHAnsi" w:cstheme="minorHAnsi"/>
                <w:sz w:val="28"/>
                <w:szCs w:val="28"/>
              </w:rPr>
            </w:pPr>
            <w:r w:rsidRPr="00FF3C7D">
              <w:rPr>
                <w:rFonts w:asciiTheme="minorHAnsi" w:hAnsiTheme="minorHAnsi" w:cstheme="minorHAnsi"/>
                <w:sz w:val="28"/>
                <w:szCs w:val="28"/>
              </w:rPr>
              <w:t xml:space="preserve">1 </w:t>
            </w:r>
            <w:r>
              <w:rPr>
                <w:rFonts w:asciiTheme="minorHAnsi" w:hAnsiTheme="minorHAnsi" w:cstheme="minorHAnsi"/>
                <w:sz w:val="28"/>
                <w:szCs w:val="28"/>
              </w:rPr>
              <w:t xml:space="preserve">M </w:t>
            </w:r>
            <w:proofErr w:type="spellStart"/>
            <w:r>
              <w:rPr>
                <w:rFonts w:asciiTheme="minorHAnsi" w:hAnsiTheme="minorHAnsi" w:cstheme="minorHAnsi"/>
                <w:sz w:val="28"/>
                <w:szCs w:val="28"/>
              </w:rPr>
              <w:t>illion</w:t>
            </w:r>
            <w:proofErr w:type="spellEnd"/>
          </w:p>
        </w:tc>
        <w:tc>
          <w:tcPr>
            <w:tcW w:w="2070" w:type="dxa"/>
            <w:tcBorders>
              <w:bottom w:val="single" w:sz="4" w:space="0" w:color="auto"/>
            </w:tcBorders>
          </w:tcPr>
          <w:p w14:paraId="48E64B7C" w14:textId="77777777" w:rsidR="00DD6E57" w:rsidRPr="00FF3C7D" w:rsidRDefault="00DD6E57" w:rsidP="00A731AA">
            <w:pPr>
              <w:pStyle w:val="Bigbluefigures"/>
              <w:spacing w:after="0" w:line="264" w:lineRule="auto"/>
              <w:rPr>
                <w:rFonts w:asciiTheme="minorHAnsi" w:hAnsiTheme="minorHAnsi" w:cstheme="minorHAnsi"/>
                <w:sz w:val="28"/>
                <w:szCs w:val="28"/>
              </w:rPr>
            </w:pPr>
            <w:r>
              <w:rPr>
                <w:rFonts w:asciiTheme="minorHAnsi" w:hAnsiTheme="minorHAnsi" w:cstheme="minorHAnsi"/>
                <w:sz w:val="28"/>
                <w:szCs w:val="28"/>
              </w:rPr>
              <w:t xml:space="preserve">1 </w:t>
            </w:r>
            <w:proofErr w:type="gramStart"/>
            <w:r>
              <w:rPr>
                <w:rFonts w:asciiTheme="minorHAnsi" w:hAnsiTheme="minorHAnsi" w:cstheme="minorHAnsi"/>
                <w:sz w:val="28"/>
                <w:szCs w:val="28"/>
              </w:rPr>
              <w:t>Million</w:t>
            </w:r>
            <w:proofErr w:type="gramEnd"/>
          </w:p>
        </w:tc>
        <w:tc>
          <w:tcPr>
            <w:tcW w:w="1980" w:type="dxa"/>
            <w:tcBorders>
              <w:bottom w:val="single" w:sz="4" w:space="0" w:color="auto"/>
            </w:tcBorders>
          </w:tcPr>
          <w:p w14:paraId="45EAA4F8" w14:textId="77777777" w:rsidR="00DD6E57" w:rsidRPr="00FF3C7D" w:rsidRDefault="00DD6E57" w:rsidP="00A731AA">
            <w:pPr>
              <w:pStyle w:val="Bigbluefigures"/>
              <w:spacing w:after="0" w:line="264" w:lineRule="auto"/>
              <w:rPr>
                <w:rFonts w:asciiTheme="minorHAnsi" w:hAnsiTheme="minorHAnsi" w:cstheme="minorHAnsi"/>
                <w:sz w:val="28"/>
                <w:szCs w:val="28"/>
              </w:rPr>
            </w:pPr>
            <w:r>
              <w:rPr>
                <w:rFonts w:asciiTheme="minorHAnsi" w:hAnsiTheme="minorHAnsi" w:cstheme="minorHAnsi"/>
                <w:sz w:val="28"/>
                <w:szCs w:val="28"/>
              </w:rPr>
              <w:t>???</w:t>
            </w:r>
          </w:p>
        </w:tc>
        <w:tc>
          <w:tcPr>
            <w:tcW w:w="1980" w:type="dxa"/>
            <w:tcBorders>
              <w:bottom w:val="single" w:sz="4" w:space="0" w:color="auto"/>
            </w:tcBorders>
          </w:tcPr>
          <w:p w14:paraId="55C79E87" w14:textId="77777777" w:rsidR="00DD6E57" w:rsidRPr="00E63422" w:rsidRDefault="00DD6E57" w:rsidP="00A731AA">
            <w:pPr>
              <w:pStyle w:val="Bigbluefigures"/>
              <w:spacing w:after="0" w:line="264" w:lineRule="auto"/>
              <w:rPr>
                <w:rFonts w:ascii="Roboto Condensed" w:hAnsi="Roboto Condensed"/>
                <w:sz w:val="56"/>
                <w:szCs w:val="56"/>
              </w:rPr>
            </w:pPr>
          </w:p>
        </w:tc>
      </w:tr>
    </w:tbl>
    <w:bookmarkEnd w:id="0"/>
    <w:p w14:paraId="793BB0E7" w14:textId="77777777" w:rsidR="00DD6E57" w:rsidRPr="00E63422" w:rsidRDefault="00DD6E57" w:rsidP="00DD6E57">
      <w:pPr>
        <w:autoSpaceDE w:val="0"/>
        <w:autoSpaceDN w:val="0"/>
        <w:adjustRightInd w:val="0"/>
        <w:rPr>
          <w:b/>
          <w:bCs/>
          <w:sz w:val="28"/>
          <w:szCs w:val="28"/>
        </w:rPr>
      </w:pPr>
      <w:r w:rsidRPr="00E63422">
        <w:rPr>
          <w:b/>
          <w:bCs/>
          <w:sz w:val="28"/>
          <w:szCs w:val="28"/>
        </w:rPr>
        <w:t xml:space="preserve"> </w:t>
      </w:r>
      <w:r>
        <w:rPr>
          <w:b/>
          <w:bCs/>
          <w:noProof/>
          <w:sz w:val="28"/>
          <w:szCs w:val="28"/>
        </w:rPr>
        <w:drawing>
          <wp:inline distT="0" distB="0" distL="0" distR="0" wp14:anchorId="2118675A" wp14:editId="5CE429E4">
            <wp:extent cx="609600" cy="609600"/>
            <wp:effectExtent l="0" t="0" r="0" b="0"/>
            <wp:docPr id="257407319" name="Picture 4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407319" name="Picture 41" descr="A blue and black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r w:rsidRPr="00E63422">
        <w:rPr>
          <w:b/>
          <w:bCs/>
          <w:sz w:val="28"/>
          <w:szCs w:val="28"/>
        </w:rPr>
        <w:t xml:space="preserve">  </w:t>
      </w:r>
      <w:bookmarkStart w:id="1" w:name="_Hlk178592590"/>
      <w:r>
        <w:rPr>
          <w:rStyle w:val="Header35Char"/>
        </w:rPr>
        <w:t xml:space="preserve">Emergency Shelter/Non-Food Items </w:t>
      </w:r>
      <w:bookmarkEnd w:id="1"/>
    </w:p>
    <w:p w14:paraId="01FE7D1E" w14:textId="77777777" w:rsidR="00DD6E57" w:rsidRPr="00185D9C" w:rsidRDefault="00DD6E57" w:rsidP="00DD6E57">
      <w:r w:rsidRPr="00185D9C">
        <w:rPr>
          <w:b/>
          <w:bCs/>
        </w:rPr>
        <w:t>Sectoral Impact</w:t>
      </w:r>
      <w:r w:rsidRPr="00185D9C">
        <w:br/>
        <w:t>The earthquake has displaced communities, creating urgent shelter needs, from immediate provision of NFIs to site preparation and safe infrastructure. Early recovery efforts will focus on sustainable shelter solutions and civil infrastructure repair.</w:t>
      </w:r>
    </w:p>
    <w:p w14:paraId="1B128A4B" w14:textId="77777777" w:rsidR="00DD6E57" w:rsidRDefault="00DD6E57" w:rsidP="00DD6E57">
      <w:pPr>
        <w:pStyle w:val="Heading3"/>
      </w:pPr>
    </w:p>
    <w:p w14:paraId="31502109" w14:textId="77777777" w:rsidR="00DD6E57" w:rsidRPr="00D11E3E" w:rsidRDefault="00DD6E57" w:rsidP="00DD6E57">
      <w:pPr>
        <w:pStyle w:val="Heading3"/>
      </w:pPr>
      <w:r w:rsidRPr="00E63422">
        <w:t>Phase 1: 1-2 weeks</w:t>
      </w:r>
      <w:r>
        <w:t xml:space="preserve">- </w:t>
      </w:r>
      <w:r w:rsidRPr="00D11E3E">
        <w:rPr>
          <w:rFonts w:eastAsia="Roboto" w:cs="Roboto"/>
          <w:sz w:val="24"/>
          <w:szCs w:val="24"/>
        </w:rPr>
        <w:t>Sectoral Impact and Key Immediate needs</w:t>
      </w:r>
    </w:p>
    <w:p w14:paraId="6A10332E" w14:textId="77777777" w:rsidR="00DD6E57" w:rsidRPr="00185D9C" w:rsidRDefault="00DD6E57" w:rsidP="00DD6E57">
      <w:pPr>
        <w:numPr>
          <w:ilvl w:val="0"/>
          <w:numId w:val="2"/>
        </w:numPr>
        <w:spacing w:after="160" w:line="278" w:lineRule="auto"/>
      </w:pPr>
      <w:r w:rsidRPr="00185D9C">
        <w:rPr>
          <w:b/>
          <w:bCs/>
        </w:rPr>
        <w:t>Shelter Support</w:t>
      </w:r>
      <w:r w:rsidRPr="00185D9C">
        <w:t>: Distribute shelter and NFIs (emergency shelter kits, toolkits, winterization kits) at a cost of approximately $200/HH for all displaced households.</w:t>
      </w:r>
    </w:p>
    <w:p w14:paraId="0A884E8C" w14:textId="77777777" w:rsidR="00DD6E57" w:rsidRPr="00185D9C" w:rsidRDefault="00DD6E57" w:rsidP="00DD6E57">
      <w:pPr>
        <w:numPr>
          <w:ilvl w:val="0"/>
          <w:numId w:val="2"/>
        </w:numPr>
        <w:spacing w:after="160" w:line="278" w:lineRule="auto"/>
      </w:pPr>
      <w:r w:rsidRPr="00185D9C">
        <w:rPr>
          <w:b/>
          <w:bCs/>
        </w:rPr>
        <w:t>Safety Assessments</w:t>
      </w:r>
      <w:r w:rsidRPr="00185D9C">
        <w:t>: Conduct structural surveys for shelters and buildings to assess safety, estimated at $25/HH for houses.</w:t>
      </w:r>
    </w:p>
    <w:p w14:paraId="2A39F461" w14:textId="77777777" w:rsidR="00DD6E57" w:rsidRPr="00185D9C" w:rsidRDefault="00DD6E57" w:rsidP="00DD6E57">
      <w:pPr>
        <w:numPr>
          <w:ilvl w:val="0"/>
          <w:numId w:val="2"/>
        </w:numPr>
        <w:spacing w:after="160" w:line="278" w:lineRule="auto"/>
      </w:pPr>
      <w:r w:rsidRPr="00185D9C">
        <w:rPr>
          <w:b/>
          <w:bCs/>
        </w:rPr>
        <w:t>Debris Management</w:t>
      </w:r>
      <w:r w:rsidRPr="00185D9C">
        <w:t>: Support safe demolition efforts for 50% of displaced households, costing about $100 per affected HH.</w:t>
      </w:r>
    </w:p>
    <w:p w14:paraId="0C60E477" w14:textId="77777777" w:rsidR="00DD6E57" w:rsidRDefault="00DD6E57" w:rsidP="00DD6E57">
      <w:pPr>
        <w:numPr>
          <w:ilvl w:val="0"/>
          <w:numId w:val="1"/>
        </w:numPr>
        <w:autoSpaceDE w:val="0"/>
        <w:autoSpaceDN w:val="0"/>
        <w:adjustRightInd w:val="0"/>
        <w:spacing w:after="0" w:line="240" w:lineRule="auto"/>
        <w:contextualSpacing/>
      </w:pPr>
      <w:r w:rsidRPr="00E24BA0">
        <w:t>Structural surveys / shelter safety assessments – covered by staffing costs, plus maybe $100,000 to engage a private sector consultant</w:t>
      </w:r>
    </w:p>
    <w:p w14:paraId="7C2957AF" w14:textId="77777777" w:rsidR="00DD6E57" w:rsidRPr="00E24BA0" w:rsidRDefault="00DD6E57" w:rsidP="00DD6E57">
      <w:pPr>
        <w:autoSpaceDE w:val="0"/>
        <w:autoSpaceDN w:val="0"/>
        <w:adjustRightInd w:val="0"/>
        <w:spacing w:after="0" w:line="240" w:lineRule="auto"/>
        <w:ind w:left="720"/>
        <w:contextualSpacing/>
      </w:pPr>
    </w:p>
    <w:p w14:paraId="5915C617" w14:textId="77777777" w:rsidR="00DD6E57" w:rsidRPr="00E63422" w:rsidRDefault="00DD6E57" w:rsidP="00DD6E57">
      <w:pPr>
        <w:autoSpaceDE w:val="0"/>
        <w:autoSpaceDN w:val="0"/>
        <w:adjustRightInd w:val="0"/>
        <w:spacing w:after="0" w:line="240" w:lineRule="auto"/>
        <w:contextualSpacing/>
      </w:pPr>
    </w:p>
    <w:p w14:paraId="335D4164" w14:textId="77777777" w:rsidR="00DD6E57" w:rsidRPr="005F107A" w:rsidRDefault="00DD6E57" w:rsidP="00DD6E57">
      <w:pPr>
        <w:autoSpaceDE w:val="0"/>
        <w:autoSpaceDN w:val="0"/>
        <w:adjustRightInd w:val="0"/>
        <w:spacing w:after="0" w:line="240" w:lineRule="auto"/>
        <w:contextualSpacing/>
      </w:pPr>
    </w:p>
    <w:p w14:paraId="1BA2556C" w14:textId="77777777" w:rsidR="00DD6E57" w:rsidRPr="00D11E3E" w:rsidRDefault="00DD6E57" w:rsidP="00DD6E57">
      <w:pPr>
        <w:pStyle w:val="Heading3"/>
        <w:rPr>
          <w:rFonts w:eastAsia="Roboto" w:cs="Roboto"/>
          <w:b/>
          <w:bCs/>
          <w:sz w:val="24"/>
          <w:szCs w:val="24"/>
        </w:rPr>
      </w:pPr>
      <w:r w:rsidRPr="00E63422">
        <w:t>Phase 2: 2-4 weeks</w:t>
      </w:r>
      <w:r>
        <w:t xml:space="preserve">- </w:t>
      </w:r>
      <w:r w:rsidRPr="00D11E3E">
        <w:rPr>
          <w:rFonts w:eastAsia="Roboto" w:cs="Roboto"/>
          <w:sz w:val="24"/>
          <w:szCs w:val="24"/>
        </w:rPr>
        <w:t>Sectoral Impact and Key Immediate needs</w:t>
      </w:r>
    </w:p>
    <w:p w14:paraId="3DB3DDA3" w14:textId="77777777" w:rsidR="00DD6E57" w:rsidRPr="00185D9C" w:rsidRDefault="00DD6E57" w:rsidP="00DD6E57">
      <w:pPr>
        <w:numPr>
          <w:ilvl w:val="0"/>
          <w:numId w:val="3"/>
        </w:numPr>
        <w:spacing w:after="160" w:line="278" w:lineRule="auto"/>
      </w:pPr>
      <w:r w:rsidRPr="00185D9C">
        <w:rPr>
          <w:b/>
          <w:bCs/>
        </w:rPr>
        <w:t>CCCM Needs Assessment</w:t>
      </w:r>
      <w:r w:rsidRPr="00185D9C">
        <w:t>: Identify beneficiaries, map services, and coordinate immediate support at displacement sites.</w:t>
      </w:r>
    </w:p>
    <w:p w14:paraId="384A820B" w14:textId="77777777" w:rsidR="00DD6E57" w:rsidRPr="00185D9C" w:rsidRDefault="00DD6E57" w:rsidP="00DD6E57">
      <w:pPr>
        <w:numPr>
          <w:ilvl w:val="0"/>
          <w:numId w:val="3"/>
        </w:numPr>
        <w:spacing w:after="160" w:line="278" w:lineRule="auto"/>
      </w:pPr>
      <w:r w:rsidRPr="00185D9C">
        <w:rPr>
          <w:b/>
          <w:bCs/>
        </w:rPr>
        <w:t>Site Preparation</w:t>
      </w:r>
      <w:r w:rsidRPr="00185D9C">
        <w:t>: Set up and manage displacement sites, estimated at $100 per affected HH.</w:t>
      </w:r>
    </w:p>
    <w:p w14:paraId="1D6BB2F2" w14:textId="77777777" w:rsidR="00DD6E57" w:rsidRPr="00185D9C" w:rsidRDefault="00DD6E57" w:rsidP="00DD6E57">
      <w:pPr>
        <w:numPr>
          <w:ilvl w:val="0"/>
          <w:numId w:val="3"/>
        </w:numPr>
        <w:spacing w:after="160" w:line="278" w:lineRule="auto"/>
      </w:pPr>
      <w:r w:rsidRPr="00185D9C">
        <w:rPr>
          <w:b/>
          <w:bCs/>
        </w:rPr>
        <w:t>Debris Removal</w:t>
      </w:r>
      <w:r w:rsidRPr="00185D9C">
        <w:t>: Continue debris management efforts at approximately $50 per affected HH.</w:t>
      </w:r>
    </w:p>
    <w:p w14:paraId="47BCA450" w14:textId="77777777" w:rsidR="00DD6E57" w:rsidRPr="00185D9C" w:rsidRDefault="00DD6E57" w:rsidP="00DD6E57">
      <w:pPr>
        <w:numPr>
          <w:ilvl w:val="0"/>
          <w:numId w:val="3"/>
        </w:numPr>
        <w:spacing w:after="160" w:line="278" w:lineRule="auto"/>
      </w:pPr>
      <w:r w:rsidRPr="00185D9C">
        <w:rPr>
          <w:b/>
          <w:bCs/>
        </w:rPr>
        <w:t>Structural Safety</w:t>
      </w:r>
      <w:r w:rsidRPr="00185D9C">
        <w:t>: Engage private sector consultants to assess building safety for non-residential structures ($300,000).</w:t>
      </w:r>
    </w:p>
    <w:p w14:paraId="2AF865F5" w14:textId="77777777" w:rsidR="00DD6E57" w:rsidRDefault="00DD6E57" w:rsidP="00DD6E57">
      <w:pPr>
        <w:pStyle w:val="ListParagraph"/>
      </w:pPr>
    </w:p>
    <w:p w14:paraId="166C3A21" w14:textId="77777777" w:rsidR="00DD6E57" w:rsidRDefault="00DD6E57" w:rsidP="00DD6E57">
      <w:pPr>
        <w:pStyle w:val="Heading3"/>
        <w:rPr>
          <w:rFonts w:eastAsia="Roboto" w:cs="Roboto"/>
          <w:b/>
          <w:bCs/>
          <w:sz w:val="24"/>
          <w:szCs w:val="24"/>
        </w:rPr>
      </w:pPr>
      <w:r w:rsidRPr="00E63422">
        <w:t xml:space="preserve">Phase </w:t>
      </w:r>
      <w:r>
        <w:t>3</w:t>
      </w:r>
      <w:r w:rsidRPr="00E63422">
        <w:t xml:space="preserve">: </w:t>
      </w:r>
      <w:r>
        <w:t>1</w:t>
      </w:r>
      <w:r w:rsidRPr="00E63422">
        <w:t>-</w:t>
      </w:r>
      <w:r>
        <w:t>2</w:t>
      </w:r>
      <w:r w:rsidRPr="00E63422">
        <w:t xml:space="preserve"> </w:t>
      </w:r>
      <w:r>
        <w:t xml:space="preserve">months- </w:t>
      </w:r>
      <w:r w:rsidRPr="00D11E3E">
        <w:rPr>
          <w:rFonts w:eastAsia="Roboto" w:cs="Roboto"/>
          <w:sz w:val="24"/>
          <w:szCs w:val="24"/>
        </w:rPr>
        <w:t>Sectoral Impact and Key Immediate needs</w:t>
      </w:r>
    </w:p>
    <w:p w14:paraId="50FEBA76" w14:textId="77777777" w:rsidR="00DD6E57" w:rsidRPr="00185D9C" w:rsidRDefault="00DD6E57" w:rsidP="00DD6E57">
      <w:pPr>
        <w:numPr>
          <w:ilvl w:val="0"/>
          <w:numId w:val="4"/>
        </w:numPr>
        <w:spacing w:after="160" w:line="278" w:lineRule="auto"/>
      </w:pPr>
      <w:r w:rsidRPr="00185D9C">
        <w:rPr>
          <w:b/>
          <w:bCs/>
        </w:rPr>
        <w:t>Shelter Reconstruction</w:t>
      </w:r>
      <w:r w:rsidRPr="00185D9C">
        <w:t>: Begin reconstruction efforts ($1600/HH for 50% of households) and repairs for transitional shelter ($800/HH for 50% of households).</w:t>
      </w:r>
    </w:p>
    <w:p w14:paraId="57441CBA" w14:textId="77777777" w:rsidR="00DD6E57" w:rsidRPr="00185D9C" w:rsidRDefault="00DD6E57" w:rsidP="00DD6E57">
      <w:pPr>
        <w:numPr>
          <w:ilvl w:val="0"/>
          <w:numId w:val="4"/>
        </w:numPr>
        <w:spacing w:after="160" w:line="278" w:lineRule="auto"/>
      </w:pPr>
      <w:r w:rsidRPr="00185D9C">
        <w:rPr>
          <w:b/>
          <w:bCs/>
        </w:rPr>
        <w:t>Civil Infrastructure Repair</w:t>
      </w:r>
      <w:r w:rsidRPr="00185D9C">
        <w:t>: Support access road and infrastructure repairs, costing about $200 per affected HH.</w:t>
      </w:r>
    </w:p>
    <w:p w14:paraId="6B0EFFEF" w14:textId="77777777" w:rsidR="00DD6E57" w:rsidRPr="00185D9C" w:rsidRDefault="00DD6E57" w:rsidP="00DD6E57">
      <w:pPr>
        <w:numPr>
          <w:ilvl w:val="0"/>
          <w:numId w:val="4"/>
        </w:numPr>
        <w:spacing w:after="160" w:line="278" w:lineRule="auto"/>
      </w:pPr>
      <w:r w:rsidRPr="00185D9C">
        <w:rPr>
          <w:b/>
          <w:bCs/>
        </w:rPr>
        <w:t>Training and Capacity Building</w:t>
      </w:r>
      <w:r w:rsidRPr="00185D9C">
        <w:t>: Provide construction training at $25/HH and capacity building for early recovery.</w:t>
      </w:r>
    </w:p>
    <w:p w14:paraId="397D5109" w14:textId="77777777" w:rsidR="00DD6E57" w:rsidRPr="00185D9C" w:rsidRDefault="00DD6E57" w:rsidP="00DD6E57">
      <w:r w:rsidRPr="00185D9C">
        <w:rPr>
          <w:i/>
          <w:iCs/>
        </w:rPr>
        <w:t>Total estimated cost</w:t>
      </w:r>
      <w:r w:rsidRPr="00185D9C">
        <w:t>: $1900/HH for Shelter and CCCM response, or $400/beneficiary (including operational overhead).</w:t>
      </w:r>
    </w:p>
    <w:p w14:paraId="179A9E9D" w14:textId="77777777" w:rsidR="00DD6E57" w:rsidRPr="00AE3B11" w:rsidRDefault="00DD6E57" w:rsidP="00DD6E57">
      <w:pPr>
        <w:pStyle w:val="ListParagraph"/>
        <w:rPr>
          <w:rFonts w:eastAsia="Roboto"/>
        </w:rPr>
      </w:pPr>
    </w:p>
    <w:p w14:paraId="21C3A66F" w14:textId="77777777" w:rsidR="00DD6E57" w:rsidRDefault="00DD6E57" w:rsidP="00DD6E57">
      <w:pPr>
        <w:rPr>
          <w:rFonts w:eastAsia="Roboto"/>
        </w:rPr>
      </w:pPr>
    </w:p>
    <w:p w14:paraId="69D4A90B" w14:textId="77777777" w:rsidR="00DD6E57" w:rsidRPr="00407A99" w:rsidRDefault="00DD6E57" w:rsidP="00DD6E57">
      <w:pPr>
        <w:rPr>
          <w:b/>
          <w:bCs/>
          <w:noProof/>
          <w:sz w:val="28"/>
          <w:szCs w:val="28"/>
        </w:rPr>
      </w:pPr>
      <w:r w:rsidRPr="00407A99">
        <w:rPr>
          <w:b/>
          <w:bCs/>
          <w:noProof/>
          <w:sz w:val="28"/>
          <w:szCs w:val="28"/>
        </w:rPr>
        <w:t>Inclusive and Quality programming:</w:t>
      </w:r>
    </w:p>
    <w:p w14:paraId="1E65F818" w14:textId="77777777" w:rsidR="00DD6E57" w:rsidRPr="00407A99" w:rsidRDefault="00DD6E57" w:rsidP="00DD6E57">
      <w:pPr>
        <w:rPr>
          <w:rFonts w:eastAsia="Roboto"/>
        </w:rPr>
      </w:pPr>
      <w:r w:rsidRPr="00407A99">
        <w:rPr>
          <w:rFonts w:eastAsia="Roboto"/>
        </w:rPr>
        <w:t xml:space="preserve"> </w:t>
      </w:r>
    </w:p>
    <w:p w14:paraId="48EB762D" w14:textId="77777777" w:rsidR="00DD6E57" w:rsidRPr="00185D9C" w:rsidRDefault="00DD6E57" w:rsidP="00DD6E57">
      <w:pPr>
        <w:numPr>
          <w:ilvl w:val="0"/>
          <w:numId w:val="5"/>
        </w:numPr>
        <w:spacing w:after="160" w:line="278" w:lineRule="auto"/>
      </w:pPr>
      <w:r w:rsidRPr="00185D9C">
        <w:rPr>
          <w:b/>
          <w:bCs/>
        </w:rPr>
        <w:t>Modality of Assistance</w:t>
      </w:r>
      <w:r w:rsidRPr="00185D9C">
        <w:t>:</w:t>
      </w:r>
    </w:p>
    <w:p w14:paraId="0C2184CD" w14:textId="77777777" w:rsidR="00DD6E57" w:rsidRPr="00185D9C" w:rsidRDefault="00DD6E57" w:rsidP="00DD6E57">
      <w:pPr>
        <w:numPr>
          <w:ilvl w:val="1"/>
          <w:numId w:val="5"/>
        </w:numPr>
        <w:spacing w:after="160" w:line="278" w:lineRule="auto"/>
      </w:pPr>
      <w:r w:rsidRPr="00185D9C">
        <w:rPr>
          <w:b/>
          <w:bCs/>
        </w:rPr>
        <w:t>Coordination</w:t>
      </w:r>
      <w:r w:rsidRPr="00185D9C">
        <w:t>: Activate the Shelter NFI and CCCM Clusters for comprehensive mapping, partner communication, MIRA assessments, and technical damage assessments. Emergency service hubs and CCCM mobile teams will support displacement tracking and camp management.</w:t>
      </w:r>
    </w:p>
    <w:p w14:paraId="7CF067E3" w14:textId="77777777" w:rsidR="00DD6E57" w:rsidRPr="00185D9C" w:rsidRDefault="00DD6E57" w:rsidP="00DD6E57">
      <w:pPr>
        <w:numPr>
          <w:ilvl w:val="1"/>
          <w:numId w:val="5"/>
        </w:numPr>
        <w:spacing w:after="160" w:line="278" w:lineRule="auto"/>
      </w:pPr>
      <w:r w:rsidRPr="00185D9C">
        <w:rPr>
          <w:b/>
          <w:bCs/>
        </w:rPr>
        <w:t>Distribution</w:t>
      </w:r>
      <w:r w:rsidRPr="00185D9C">
        <w:t>: Provide NFIs and essential kits directly to affected households.</w:t>
      </w:r>
    </w:p>
    <w:p w14:paraId="2DCE713E" w14:textId="77777777" w:rsidR="00DD6E57" w:rsidRPr="00185D9C" w:rsidRDefault="00DD6E57" w:rsidP="00DD6E57">
      <w:pPr>
        <w:numPr>
          <w:ilvl w:val="1"/>
          <w:numId w:val="5"/>
        </w:numPr>
        <w:spacing w:after="160" w:line="278" w:lineRule="auto"/>
      </w:pPr>
      <w:r w:rsidRPr="00185D9C">
        <w:rPr>
          <w:b/>
          <w:bCs/>
        </w:rPr>
        <w:t>Reconstruction</w:t>
      </w:r>
      <w:r w:rsidRPr="00185D9C">
        <w:t>: Implement shelter repair/reconstruction using Conditional Cash, Cash for Work, or contractors, complemented by technical training and community grants for broader infrastructure repair.</w:t>
      </w:r>
    </w:p>
    <w:p w14:paraId="63DB2213" w14:textId="77777777" w:rsidR="00DD6E57" w:rsidRPr="00185D9C" w:rsidRDefault="00DD6E57" w:rsidP="00DD6E57">
      <w:pPr>
        <w:numPr>
          <w:ilvl w:val="0"/>
          <w:numId w:val="5"/>
        </w:numPr>
        <w:spacing w:after="160" w:line="278" w:lineRule="auto"/>
      </w:pPr>
      <w:r w:rsidRPr="00185D9C">
        <w:rPr>
          <w:b/>
          <w:bCs/>
        </w:rPr>
        <w:t>Gender, PWD, and Protection Considerations</w:t>
      </w:r>
      <w:r w:rsidRPr="00185D9C">
        <w:t>:</w:t>
      </w:r>
    </w:p>
    <w:p w14:paraId="68B728D6" w14:textId="77777777" w:rsidR="00DD6E57" w:rsidRPr="00185D9C" w:rsidRDefault="00DD6E57" w:rsidP="00DD6E57">
      <w:pPr>
        <w:numPr>
          <w:ilvl w:val="1"/>
          <w:numId w:val="5"/>
        </w:numPr>
        <w:spacing w:after="160" w:line="278" w:lineRule="auto"/>
      </w:pPr>
      <w:r w:rsidRPr="00185D9C">
        <w:t xml:space="preserve">Collaborate with the Gender </w:t>
      </w:r>
      <w:r>
        <w:t>in Humanitarian Action (</w:t>
      </w:r>
      <w:proofErr w:type="spellStart"/>
      <w:r>
        <w:t>GiHA</w:t>
      </w:r>
      <w:proofErr w:type="spellEnd"/>
      <w:r>
        <w:t xml:space="preserve"> WG)</w:t>
      </w:r>
      <w:r w:rsidRPr="00185D9C">
        <w:t xml:space="preserve"> to ensure women’s participation and safety in shelter and CCCM activities, including through a Gender Alert.</w:t>
      </w:r>
    </w:p>
    <w:p w14:paraId="55A69632" w14:textId="77777777" w:rsidR="00DD6E57" w:rsidRPr="00185D9C" w:rsidRDefault="00DD6E57" w:rsidP="00DD6E57">
      <w:pPr>
        <w:numPr>
          <w:ilvl w:val="1"/>
          <w:numId w:val="5"/>
        </w:numPr>
        <w:spacing w:after="160" w:line="278" w:lineRule="auto"/>
      </w:pPr>
      <w:r w:rsidRPr="00185D9C">
        <w:t>Partner with the Disability Inclusion Working Group to integrate technical guidance for disability-inclusive emergency response and recovery.</w:t>
      </w:r>
    </w:p>
    <w:p w14:paraId="72DCF10D" w14:textId="77777777" w:rsidR="00DD6E57" w:rsidRPr="00185D9C" w:rsidRDefault="00DD6E57" w:rsidP="00DD6E57">
      <w:pPr>
        <w:numPr>
          <w:ilvl w:val="0"/>
          <w:numId w:val="5"/>
        </w:numPr>
        <w:spacing w:after="160" w:line="278" w:lineRule="auto"/>
      </w:pPr>
      <w:r w:rsidRPr="00185D9C">
        <w:rPr>
          <w:b/>
          <w:bCs/>
        </w:rPr>
        <w:t>PSEA Commitment</w:t>
      </w:r>
      <w:r w:rsidRPr="00185D9C">
        <w:t>: Ensure all implementing partners are trained and assessed on PSEA standards to uphold safety and accountability across Shelter and CCCM interventions.</w:t>
      </w:r>
    </w:p>
    <w:p w14:paraId="3F784BF4" w14:textId="77777777" w:rsidR="00F13EF4" w:rsidRDefault="00F13EF4"/>
    <w:sectPr w:rsidR="00F13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oboto Condensed">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Roboto Slab">
    <w:charset w:val="00"/>
    <w:family w:val="auto"/>
    <w:pitch w:val="variable"/>
    <w:sig w:usb0="000004FF" w:usb1="8000405F" w:usb2="00000022"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3419"/>
    <w:multiLevelType w:val="multilevel"/>
    <w:tmpl w:val="B44E8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46870"/>
    <w:multiLevelType w:val="multilevel"/>
    <w:tmpl w:val="B4E8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551938"/>
    <w:multiLevelType w:val="multilevel"/>
    <w:tmpl w:val="49B87A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934784"/>
    <w:multiLevelType w:val="multilevel"/>
    <w:tmpl w:val="C3AA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2A038E"/>
    <w:multiLevelType w:val="hybridMultilevel"/>
    <w:tmpl w:val="62EA4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6251495">
    <w:abstractNumId w:val="4"/>
  </w:num>
  <w:num w:numId="2" w16cid:durableId="1287931045">
    <w:abstractNumId w:val="1"/>
  </w:num>
  <w:num w:numId="3" w16cid:durableId="1448234302">
    <w:abstractNumId w:val="3"/>
  </w:num>
  <w:num w:numId="4" w16cid:durableId="692464993">
    <w:abstractNumId w:val="0"/>
  </w:num>
  <w:num w:numId="5" w16cid:durableId="855650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57"/>
    <w:rsid w:val="000E1DE4"/>
    <w:rsid w:val="00D23927"/>
    <w:rsid w:val="00D82E8B"/>
    <w:rsid w:val="00DD6E57"/>
    <w:rsid w:val="00DF71CF"/>
    <w:rsid w:val="00F13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D6FD8"/>
  <w15:chartTrackingRefBased/>
  <w15:docId w15:val="{A9B933D2-7AFC-4952-99A8-2F1F09496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E57"/>
    <w:pPr>
      <w:spacing w:after="120" w:line="288" w:lineRule="auto"/>
    </w:pPr>
    <w:rPr>
      <w:rFonts w:ascii="Roboto Condensed" w:eastAsia="Times New Roman" w:hAnsi="Roboto Condensed" w:cs="Times New Roman"/>
      <w:kern w:val="0"/>
      <w:sz w:val="18"/>
      <w:szCs w:val="24"/>
      <w14:ligatures w14:val="none"/>
    </w:rPr>
  </w:style>
  <w:style w:type="paragraph" w:styleId="Heading1">
    <w:name w:val="heading 1"/>
    <w:basedOn w:val="Normal"/>
    <w:next w:val="Normal"/>
    <w:link w:val="Heading1Char"/>
    <w:uiPriority w:val="9"/>
    <w:qFormat/>
    <w:rsid w:val="00DD6E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6E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D6E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6E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6E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6E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6E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6E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6E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E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6E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D6E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6E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6E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6E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E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E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E57"/>
    <w:rPr>
      <w:rFonts w:eastAsiaTheme="majorEastAsia" w:cstheme="majorBidi"/>
      <w:color w:val="272727" w:themeColor="text1" w:themeTint="D8"/>
    </w:rPr>
  </w:style>
  <w:style w:type="paragraph" w:styleId="Title">
    <w:name w:val="Title"/>
    <w:basedOn w:val="Normal"/>
    <w:next w:val="Normal"/>
    <w:link w:val="TitleChar"/>
    <w:uiPriority w:val="10"/>
    <w:qFormat/>
    <w:rsid w:val="00DD6E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E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E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6E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E57"/>
    <w:pPr>
      <w:spacing w:before="160"/>
      <w:jc w:val="center"/>
    </w:pPr>
    <w:rPr>
      <w:i/>
      <w:iCs/>
      <w:color w:val="404040" w:themeColor="text1" w:themeTint="BF"/>
    </w:rPr>
  </w:style>
  <w:style w:type="character" w:customStyle="1" w:styleId="QuoteChar">
    <w:name w:val="Quote Char"/>
    <w:basedOn w:val="DefaultParagraphFont"/>
    <w:link w:val="Quote"/>
    <w:uiPriority w:val="29"/>
    <w:rsid w:val="00DD6E57"/>
    <w:rPr>
      <w:i/>
      <w:iCs/>
      <w:color w:val="404040" w:themeColor="text1" w:themeTint="BF"/>
    </w:rPr>
  </w:style>
  <w:style w:type="paragraph" w:styleId="ListParagraph">
    <w:name w:val="List Paragraph"/>
    <w:aliases w:val="Bullet Points,Dot pt,No Spacing1,List Paragraph Char Char Char,Indicator Text,Numbered Para 1,List Paragraph1,Bullet 1,MAIN CONTENT,List Paragraph12,OBC Bullet,F5 List Paragraph,Normal numbered,Bullet Style,Colorful List - Accent 11,列出段落"/>
    <w:basedOn w:val="Normal"/>
    <w:link w:val="ListParagraphChar"/>
    <w:uiPriority w:val="34"/>
    <w:qFormat/>
    <w:rsid w:val="00DD6E57"/>
    <w:pPr>
      <w:ind w:left="720"/>
      <w:contextualSpacing/>
    </w:pPr>
  </w:style>
  <w:style w:type="character" w:styleId="IntenseEmphasis">
    <w:name w:val="Intense Emphasis"/>
    <w:basedOn w:val="DefaultParagraphFont"/>
    <w:uiPriority w:val="21"/>
    <w:qFormat/>
    <w:rsid w:val="00DD6E57"/>
    <w:rPr>
      <w:i/>
      <w:iCs/>
      <w:color w:val="0F4761" w:themeColor="accent1" w:themeShade="BF"/>
    </w:rPr>
  </w:style>
  <w:style w:type="paragraph" w:styleId="IntenseQuote">
    <w:name w:val="Intense Quote"/>
    <w:basedOn w:val="Normal"/>
    <w:next w:val="Normal"/>
    <w:link w:val="IntenseQuoteChar"/>
    <w:uiPriority w:val="30"/>
    <w:qFormat/>
    <w:rsid w:val="00DD6E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6E57"/>
    <w:rPr>
      <w:i/>
      <w:iCs/>
      <w:color w:val="0F4761" w:themeColor="accent1" w:themeShade="BF"/>
    </w:rPr>
  </w:style>
  <w:style w:type="character" w:styleId="IntenseReference">
    <w:name w:val="Intense Reference"/>
    <w:basedOn w:val="DefaultParagraphFont"/>
    <w:uiPriority w:val="32"/>
    <w:qFormat/>
    <w:rsid w:val="00DD6E57"/>
    <w:rPr>
      <w:b/>
      <w:bCs/>
      <w:smallCaps/>
      <w:color w:val="0F4761" w:themeColor="accent1" w:themeShade="BF"/>
      <w:spacing w:val="5"/>
    </w:rPr>
  </w:style>
  <w:style w:type="table" w:styleId="TableGrid">
    <w:name w:val="Table Grid"/>
    <w:basedOn w:val="TableNormal"/>
    <w:uiPriority w:val="39"/>
    <w:rsid w:val="00DD6E57"/>
    <w:pPr>
      <w:spacing w:after="0" w:line="240" w:lineRule="auto"/>
    </w:pPr>
    <w:rPr>
      <w:rFonts w:eastAsiaTheme="minorEastAsia"/>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bluefigures">
    <w:name w:val="Big blue figures"/>
    <w:basedOn w:val="Normal"/>
    <w:qFormat/>
    <w:rsid w:val="00DD6E57"/>
    <w:pPr>
      <w:autoSpaceDE w:val="0"/>
      <w:autoSpaceDN w:val="0"/>
      <w:adjustRightInd w:val="0"/>
    </w:pPr>
    <w:rPr>
      <w:rFonts w:ascii="Roboto Slab" w:hAnsi="Roboto Slab" w:cs="Roboto Slab"/>
      <w:b/>
      <w:color w:val="5091CD"/>
      <w:spacing w:val="-1"/>
      <w:kern w:val="24"/>
      <w:sz w:val="60"/>
      <w:szCs w:val="60"/>
    </w:rPr>
  </w:style>
  <w:style w:type="paragraph" w:customStyle="1" w:styleId="Header35">
    <w:name w:val="Header 3.5"/>
    <w:basedOn w:val="Heading3"/>
    <w:link w:val="Header35Char"/>
    <w:rsid w:val="00DD6E57"/>
    <w:pPr>
      <w:keepNext w:val="0"/>
      <w:keepLines w:val="0"/>
      <w:autoSpaceDE w:val="0"/>
      <w:autoSpaceDN w:val="0"/>
      <w:adjustRightInd w:val="0"/>
      <w:spacing w:before="0" w:after="360" w:line="240" w:lineRule="auto"/>
    </w:pPr>
    <w:rPr>
      <w:rFonts w:ascii="Roboto Slab" w:eastAsia="Times New Roman" w:hAnsi="Roboto Slab" w:cs="Times New Roman"/>
      <w:b/>
      <w:bCs/>
      <w:sz w:val="40"/>
      <w:szCs w:val="40"/>
    </w:rPr>
  </w:style>
  <w:style w:type="character" w:customStyle="1" w:styleId="Header35Char">
    <w:name w:val="Header 3.5 Char"/>
    <w:basedOn w:val="Heading3Char"/>
    <w:link w:val="Header35"/>
    <w:rsid w:val="00DD6E57"/>
    <w:rPr>
      <w:rFonts w:ascii="Roboto Slab" w:eastAsia="Times New Roman" w:hAnsi="Roboto Slab" w:cs="Times New Roman"/>
      <w:b/>
      <w:bCs/>
      <w:color w:val="0F4761" w:themeColor="accent1" w:themeShade="BF"/>
      <w:kern w:val="0"/>
      <w:sz w:val="40"/>
      <w:szCs w:val="40"/>
      <w14:ligatures w14:val="none"/>
    </w:rPr>
  </w:style>
  <w:style w:type="character" w:customStyle="1" w:styleId="ListParagraphChar">
    <w:name w:val="List Paragraph Char"/>
    <w:aliases w:val="Bullet Points Char,Dot pt Char,No Spacing1 Char,List Paragraph Char Char Char Char,Indicator Text Char,Numbered Para 1 Char,List Paragraph1 Char,Bullet 1 Char,MAIN CONTENT Char,List Paragraph12 Char,OBC Bullet Char,Bullet Style Char"/>
    <w:link w:val="ListParagraph"/>
    <w:uiPriority w:val="34"/>
    <w:qFormat/>
    <w:locked/>
    <w:rsid w:val="00DD6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IZHAR Sumera</dc:creator>
  <cp:keywords/>
  <dc:description/>
  <cp:lastModifiedBy>IZHAR Sumera</cp:lastModifiedBy>
  <cp:revision>1</cp:revision>
  <dcterms:created xsi:type="dcterms:W3CDTF">2025-01-13T05:30:00Z</dcterms:created>
  <dcterms:modified xsi:type="dcterms:W3CDTF">2025-01-13T05:33:00Z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2025-01-13T05:33:04Z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96de4134-3d92-4979-b0c2-5d7848877877</vt:lpwstr>
  </property>
  <property fmtid="{D5CDD505-2E9C-101B-9397-08002B2CF9AE}" pid="8" name="MSIP_Label_2059aa38-f392-4105-be92-628035578272_ContentBits">
    <vt:lpwstr>0</vt:lpwstr>
  </property>
</Properties>
</file>